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18"/>
        <w:gridCol w:w="708"/>
        <w:gridCol w:w="518"/>
        <w:gridCol w:w="188"/>
        <w:gridCol w:w="712"/>
        <w:gridCol w:w="618"/>
      </w:tblGrid>
      <w:tr w:rsidR="009D7C47" w:rsidRPr="00E31856" w:rsidTr="003774C4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9D7C47" w:rsidRPr="00E31856" w:rsidRDefault="009D7C47" w:rsidP="003774C4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caps/>
              </w:rPr>
              <w:t>Europski monetarni sustav</w:t>
            </w:r>
          </w:p>
        </w:tc>
      </w:tr>
      <w:tr w:rsidR="009D7C47" w:rsidRPr="00E31856" w:rsidTr="003774C4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Style w:val="Strong"/>
                <w:rFonts w:ascii="Arial" w:hAnsi="Arial" w:cs="Arial"/>
                <w:sz w:val="20"/>
                <w:szCs w:val="20"/>
              </w:rPr>
              <w:t>Kȏd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EUE404</w:t>
            </w:r>
          </w:p>
        </w:tc>
        <w:tc>
          <w:tcPr>
            <w:tcW w:w="2306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9D7C47" w:rsidRPr="00E31856" w:rsidTr="003774C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Prof.dr.sc. Mario Pečarić</w:t>
            </w:r>
          </w:p>
          <w:p w:rsidR="009D7C47" w:rsidRPr="008D5DD1" w:rsidRDefault="009D7C47" w:rsidP="003774C4">
            <w:pPr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proofErr w:type="spellStart"/>
            <w:r w:rsidRPr="008D5DD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Prof</w:t>
            </w:r>
            <w:proofErr w:type="spellEnd"/>
            <w:r w:rsidRPr="008D5DD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. </w:t>
            </w:r>
            <w:proofErr w:type="spellStart"/>
            <w:r w:rsidRPr="008D5DD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dr</w:t>
            </w:r>
            <w:proofErr w:type="spellEnd"/>
            <w:r w:rsidRPr="008D5DD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. </w:t>
            </w:r>
            <w:proofErr w:type="spellStart"/>
            <w:r w:rsidRPr="008D5DD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sc</w:t>
            </w:r>
            <w:proofErr w:type="spellEnd"/>
            <w:r w:rsidRPr="008D5DD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. Nikša Nikolić</w:t>
            </w:r>
          </w:p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Doc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>. Josip Visković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D7C47" w:rsidRPr="00E31856" w:rsidTr="003774C4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Doc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>. Josip Visković</w:t>
            </w:r>
          </w:p>
        </w:tc>
        <w:tc>
          <w:tcPr>
            <w:tcW w:w="2306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D7C47" w:rsidRPr="00E31856" w:rsidRDefault="009D7C47" w:rsidP="003774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D7C47" w:rsidRPr="00E31856" w:rsidRDefault="009D7C47" w:rsidP="003774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D7C47" w:rsidRPr="00E31856" w:rsidRDefault="009D7C47" w:rsidP="003774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9D7C47" w:rsidRPr="00E31856" w:rsidTr="003774C4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7C47" w:rsidRPr="00E31856" w:rsidTr="003774C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E31856" w:rsidRDefault="006E05DA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05DA">
              <w:rPr>
                <w:rFonts w:ascii="Arial" w:hAnsi="Arial" w:cs="Arial"/>
                <w:color w:val="FF0000"/>
                <w:sz w:val="20"/>
                <w:szCs w:val="20"/>
              </w:rPr>
              <w:t>15%</w:t>
            </w:r>
          </w:p>
        </w:tc>
      </w:tr>
      <w:tr w:rsidR="009D7C47" w:rsidRPr="00E31856" w:rsidTr="003774C4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9D7C47" w:rsidRPr="00E31856" w:rsidTr="003774C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D7C47" w:rsidRPr="00E31856" w:rsidRDefault="009D7C47" w:rsidP="003774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Upoznati i analizirati monetarni sustav EU - politiku i instrumente</w:t>
            </w:r>
          </w:p>
        </w:tc>
      </w:tr>
      <w:tr w:rsidR="009D7C47" w:rsidRPr="00E31856" w:rsidTr="003774C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D7C47" w:rsidRPr="00E31856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9D7C47" w:rsidRPr="00E31856" w:rsidRDefault="009D7C47" w:rsidP="003774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9D7C47" w:rsidRPr="00E31856" w:rsidTr="003774C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D7C47" w:rsidRPr="00E31856" w:rsidRDefault="009D7C47" w:rsidP="003774C4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1856">
              <w:rPr>
                <w:rFonts w:ascii="Arial" w:eastAsia="Times New Roman" w:hAnsi="Arial" w:cs="Arial"/>
                <w:sz w:val="20"/>
                <w:szCs w:val="20"/>
              </w:rPr>
              <w:t>Ishod učenja predmeta:</w:t>
            </w:r>
          </w:p>
          <w:p w:rsidR="009D7C47" w:rsidRPr="00E31856" w:rsidRDefault="009D7C47" w:rsidP="00BA3DCE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Ocijeniti ulogu monetarnog sustava EU u okviru financijskog sustava</w:t>
            </w:r>
          </w:p>
          <w:p w:rsidR="009D7C47" w:rsidRPr="00E31856" w:rsidRDefault="009D7C47" w:rsidP="003774C4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9D7C47" w:rsidRPr="00E31856" w:rsidRDefault="009D7C47" w:rsidP="003774C4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1856">
              <w:rPr>
                <w:rFonts w:ascii="Arial" w:eastAsia="Times New Roman" w:hAnsi="Arial" w:cs="Arial"/>
                <w:sz w:val="20"/>
                <w:szCs w:val="20"/>
              </w:rPr>
              <w:t>Pojedinačni ishodi učenja:</w:t>
            </w:r>
          </w:p>
          <w:p w:rsidR="00BA3DCE" w:rsidRDefault="00BA3DCE" w:rsidP="006E05D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BA3DCE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Ocijeniti razloge i učinke monetarne integracije</w:t>
            </w:r>
            <w:r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te procijeniti iste u analizi procesa stvaranja EMU</w:t>
            </w:r>
            <w:r w:rsidR="006E05DA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</w:t>
            </w:r>
            <w:r w:rsidR="006E05DA" w:rsidRPr="006E05DA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(6.razina).</w:t>
            </w:r>
          </w:p>
          <w:p w:rsidR="009D7C47" w:rsidRPr="00BA3DCE" w:rsidRDefault="00BA3DCE" w:rsidP="009D7C4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A3DCE">
              <w:rPr>
                <w:rFonts w:ascii="Arial" w:eastAsia="Times New Roman" w:hAnsi="Arial" w:cs="Arial"/>
                <w:sz w:val="20"/>
                <w:szCs w:val="20"/>
              </w:rPr>
              <w:t xml:space="preserve">Kritički procijeniti dosege teorije </w:t>
            </w:r>
            <w:r w:rsidR="009D7C47" w:rsidRPr="00BA3DCE">
              <w:rPr>
                <w:rFonts w:ascii="Arial" w:eastAsia="Times New Roman" w:hAnsi="Arial" w:cs="Arial"/>
                <w:sz w:val="20"/>
                <w:szCs w:val="20"/>
              </w:rPr>
              <w:t xml:space="preserve">optimalnog valutnog područja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te analitički procijeniti kriterije iste na primjeru</w:t>
            </w:r>
            <w:r w:rsidR="009D7C47" w:rsidRPr="00BA3DCE">
              <w:rPr>
                <w:rFonts w:ascii="Arial" w:eastAsia="Times New Roman" w:hAnsi="Arial" w:cs="Arial"/>
                <w:sz w:val="20"/>
                <w:szCs w:val="20"/>
              </w:rPr>
              <w:t xml:space="preserve"> EMU (6.razina).</w:t>
            </w:r>
          </w:p>
          <w:p w:rsidR="00BA3DCE" w:rsidRPr="00E31856" w:rsidRDefault="00BA3DCE" w:rsidP="00BA3DC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A3DCE">
              <w:rPr>
                <w:rFonts w:ascii="Arial" w:eastAsia="Times New Roman" w:hAnsi="Arial" w:cs="Arial"/>
                <w:sz w:val="20"/>
                <w:szCs w:val="20"/>
              </w:rPr>
              <w:t xml:space="preserve">Preispitati institucionalnu strukturu EMU i analitički argumentirati  potrebu njene reforme </w:t>
            </w:r>
            <w:r w:rsidRPr="00E31856">
              <w:rPr>
                <w:rFonts w:ascii="Arial" w:eastAsia="Times New Roman" w:hAnsi="Arial" w:cs="Arial"/>
                <w:sz w:val="20"/>
                <w:szCs w:val="20"/>
              </w:rPr>
              <w:t>(6.razina).</w:t>
            </w:r>
          </w:p>
          <w:p w:rsidR="009D7C47" w:rsidRPr="00E31856" w:rsidRDefault="00BA3DCE" w:rsidP="009D7C4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A3DCE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Analitički ocijeniti međuodnos fiskalne i monetarne politike u EMU</w:t>
            </w:r>
            <w:r w:rsidR="009D7C47" w:rsidRPr="00BA3DCE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</w:t>
            </w:r>
            <w:r w:rsidR="009D7C47" w:rsidRPr="00E31856">
              <w:rPr>
                <w:rFonts w:ascii="Arial" w:eastAsia="Times New Roman" w:hAnsi="Arial" w:cs="Arial"/>
                <w:sz w:val="20"/>
                <w:szCs w:val="20"/>
              </w:rPr>
              <w:t>(6.razina).</w:t>
            </w:r>
          </w:p>
          <w:p w:rsidR="009D7C47" w:rsidRPr="00BA3DCE" w:rsidRDefault="00BA3DCE" w:rsidP="00BA3DC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A3DCE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Argumentirati i vrednovati institucionalni okvir pristupanja </w:t>
            </w:r>
            <w:proofErr w:type="spellStart"/>
            <w:r w:rsidRPr="00BA3DCE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Eurozoni</w:t>
            </w:r>
            <w:proofErr w:type="spellEnd"/>
            <w:r w:rsidRPr="00BA3DCE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te uloge tečajne politike </w:t>
            </w:r>
            <w:r w:rsidR="009D7C47" w:rsidRPr="00E31856">
              <w:rPr>
                <w:rFonts w:ascii="Arial" w:eastAsia="Times New Roman" w:hAnsi="Arial" w:cs="Arial"/>
                <w:sz w:val="20"/>
                <w:szCs w:val="20"/>
              </w:rPr>
              <w:t>(6.razina).</w:t>
            </w:r>
          </w:p>
        </w:tc>
      </w:tr>
      <w:tr w:rsidR="009D7C47" w:rsidRPr="00E31856" w:rsidTr="003774C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993"/>
              <w:gridCol w:w="709"/>
              <w:gridCol w:w="3118"/>
              <w:gridCol w:w="709"/>
            </w:tblGrid>
            <w:tr w:rsidR="009D7C47" w:rsidRPr="00E31856" w:rsidTr="003774C4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:rsidR="009D7C47" w:rsidRPr="00E31856" w:rsidRDefault="009D7C47" w:rsidP="00377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E31856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Predavanja</w:t>
                  </w:r>
                  <w:proofErr w:type="spellEnd"/>
                </w:p>
              </w:tc>
              <w:tc>
                <w:tcPr>
                  <w:tcW w:w="3827" w:type="dxa"/>
                  <w:gridSpan w:val="2"/>
                </w:tcPr>
                <w:p w:rsidR="009D7C47" w:rsidRPr="00E31856" w:rsidRDefault="009D7C47" w:rsidP="00377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E31856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9D7C47" w:rsidRPr="00E31856" w:rsidTr="003774C4">
              <w:tc>
                <w:tcPr>
                  <w:tcW w:w="2993" w:type="dxa"/>
                </w:tcPr>
                <w:p w:rsidR="009D7C47" w:rsidRPr="00E31856" w:rsidRDefault="009D7C47" w:rsidP="00377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E31856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9D7C47" w:rsidRPr="00E31856" w:rsidRDefault="009D7C47" w:rsidP="00377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:rsidR="009D7C47" w:rsidRPr="00E31856" w:rsidRDefault="009D7C47" w:rsidP="00377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E31856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9D7C47" w:rsidRPr="00E31856" w:rsidRDefault="009D7C47" w:rsidP="003774C4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6E494A" w:rsidRPr="00E31856" w:rsidTr="003774C4">
              <w:tc>
                <w:tcPr>
                  <w:tcW w:w="2993" w:type="dxa"/>
                  <w:vAlign w:val="center"/>
                </w:tcPr>
                <w:p w:rsidR="006E494A" w:rsidRPr="00E31856" w:rsidRDefault="006E494A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Uvod: m</w:t>
                  </w:r>
                  <w:r w:rsidR="0096604F">
                    <w:rPr>
                      <w:rFonts w:ascii="Arial" w:hAnsi="Arial" w:cs="Arial"/>
                      <w:sz w:val="18"/>
                      <w:szCs w:val="18"/>
                    </w:rPr>
                    <w:t>onetarni i financijski sustav EU</w:t>
                  </w:r>
                </w:p>
              </w:tc>
              <w:tc>
                <w:tcPr>
                  <w:tcW w:w="709" w:type="dxa"/>
                  <w:vAlign w:val="center"/>
                </w:tcPr>
                <w:p w:rsidR="006E494A" w:rsidRPr="00E31856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6E494A" w:rsidRPr="00E31856" w:rsidRDefault="006E494A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Analiza sastavnica financijskog i </w:t>
                  </w:r>
                  <w:r w:rsidR="0096604F">
                    <w:rPr>
                      <w:rFonts w:ascii="Arial" w:hAnsi="Arial" w:cs="Arial"/>
                      <w:sz w:val="18"/>
                      <w:szCs w:val="18"/>
                    </w:rPr>
                    <w:t>m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onetarnog sustava EU</w:t>
                  </w:r>
                </w:p>
              </w:tc>
              <w:tc>
                <w:tcPr>
                  <w:tcW w:w="709" w:type="dxa"/>
                  <w:vAlign w:val="center"/>
                </w:tcPr>
                <w:p w:rsidR="006E494A" w:rsidRPr="00E31856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9D7C47" w:rsidRPr="00E31856" w:rsidTr="003774C4">
              <w:tc>
                <w:tcPr>
                  <w:tcW w:w="2993" w:type="dxa"/>
                  <w:vAlign w:val="center"/>
                </w:tcPr>
                <w:p w:rsidR="009D7C47" w:rsidRPr="00E31856" w:rsidRDefault="006E494A" w:rsidP="006E494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Pojam i motivi monetarne integracije i proces monetarnog ujedinjenja u Europi</w:t>
                  </w:r>
                </w:p>
              </w:tc>
              <w:tc>
                <w:tcPr>
                  <w:tcW w:w="709" w:type="dxa"/>
                  <w:vAlign w:val="center"/>
                </w:tcPr>
                <w:p w:rsidR="009D7C47" w:rsidRPr="00E31856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9D7C47" w:rsidRPr="00E31856" w:rsidRDefault="006E494A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F0CA1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Institucionalna analiza monetarne integracije u EU (studija slučaja)</w:t>
                  </w:r>
                </w:p>
              </w:tc>
              <w:tc>
                <w:tcPr>
                  <w:tcW w:w="709" w:type="dxa"/>
                  <w:vAlign w:val="center"/>
                </w:tcPr>
                <w:p w:rsidR="009D7C47" w:rsidRPr="00E31856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9D7C47" w:rsidRPr="00E31856" w:rsidTr="003774C4">
              <w:tc>
                <w:tcPr>
                  <w:tcW w:w="2993" w:type="dxa"/>
                  <w:vAlign w:val="center"/>
                </w:tcPr>
                <w:p w:rsidR="009D7C47" w:rsidRPr="00E31856" w:rsidRDefault="006E494A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Teorija optimalnog valutnog područja – modelski pristup</w:t>
                  </w:r>
                </w:p>
              </w:tc>
              <w:tc>
                <w:tcPr>
                  <w:tcW w:w="709" w:type="dxa"/>
                  <w:vAlign w:val="center"/>
                </w:tcPr>
                <w:p w:rsidR="009D7C47" w:rsidRPr="00E31856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9D7C47" w:rsidRPr="00E31856" w:rsidRDefault="006E494A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Testiranje optimalnog valutnog područja (studija slučaja)</w:t>
                  </w:r>
                </w:p>
              </w:tc>
              <w:tc>
                <w:tcPr>
                  <w:tcW w:w="709" w:type="dxa"/>
                  <w:vAlign w:val="center"/>
                </w:tcPr>
                <w:p w:rsidR="009D7C47" w:rsidRPr="00E31856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9D7C47" w:rsidRPr="00E31856" w:rsidTr="003774C4">
              <w:tc>
                <w:tcPr>
                  <w:tcW w:w="2993" w:type="dxa"/>
                  <w:vAlign w:val="center"/>
                </w:tcPr>
                <w:p w:rsidR="009D7C47" w:rsidRPr="00E31856" w:rsidRDefault="006E494A" w:rsidP="00F06D57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Institucionalna struktura EMU</w:t>
                  </w:r>
                </w:p>
              </w:tc>
              <w:tc>
                <w:tcPr>
                  <w:tcW w:w="709" w:type="dxa"/>
                  <w:vAlign w:val="center"/>
                </w:tcPr>
                <w:p w:rsidR="009D7C47" w:rsidRPr="00E31856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9D7C47" w:rsidRPr="00E31856" w:rsidRDefault="006E494A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Reforma odlučivanja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– modelski pristup</w:t>
                  </w:r>
                </w:p>
              </w:tc>
              <w:tc>
                <w:tcPr>
                  <w:tcW w:w="709" w:type="dxa"/>
                  <w:vAlign w:val="center"/>
                </w:tcPr>
                <w:p w:rsidR="009D7C47" w:rsidRPr="00E31856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F06D57" w:rsidRPr="00E31856" w:rsidTr="003774C4">
              <w:tc>
                <w:tcPr>
                  <w:tcW w:w="2993" w:type="dxa"/>
                  <w:vAlign w:val="center"/>
                </w:tcPr>
                <w:p w:rsidR="00F06D57" w:rsidRDefault="00F06D57" w:rsidP="006E494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Strategija monetarne politike EMU</w:t>
                  </w:r>
                </w:p>
              </w:tc>
              <w:tc>
                <w:tcPr>
                  <w:tcW w:w="709" w:type="dxa"/>
                  <w:vAlign w:val="center"/>
                </w:tcPr>
                <w:p w:rsidR="00F06D57" w:rsidRPr="00E31856" w:rsidRDefault="00F06D5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F06D57" w:rsidRDefault="00F06D57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Reforma strategije monetarne politike EMU</w:t>
                  </w:r>
                </w:p>
              </w:tc>
              <w:tc>
                <w:tcPr>
                  <w:tcW w:w="709" w:type="dxa"/>
                  <w:vAlign w:val="center"/>
                </w:tcPr>
                <w:p w:rsidR="00F06D57" w:rsidRPr="00E31856" w:rsidRDefault="00F06D5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9D7C47" w:rsidRPr="00E31856" w:rsidTr="003774C4">
              <w:tc>
                <w:tcPr>
                  <w:tcW w:w="2993" w:type="dxa"/>
                  <w:vAlign w:val="center"/>
                </w:tcPr>
                <w:p w:rsidR="009D7C47" w:rsidRPr="00E31856" w:rsidRDefault="006E494A" w:rsidP="006E494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Operacijski okvir monetarne politike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Eurosistema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1</w:t>
                  </w:r>
                </w:p>
              </w:tc>
              <w:tc>
                <w:tcPr>
                  <w:tcW w:w="709" w:type="dxa"/>
                  <w:vAlign w:val="center"/>
                </w:tcPr>
                <w:p w:rsidR="009D7C47" w:rsidRPr="00E31856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9D7C47" w:rsidRPr="00E31856" w:rsidRDefault="006E494A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Dizajniranje instrumenata monetarne politike</w:t>
                  </w:r>
                </w:p>
              </w:tc>
              <w:tc>
                <w:tcPr>
                  <w:tcW w:w="709" w:type="dxa"/>
                  <w:vAlign w:val="center"/>
                </w:tcPr>
                <w:p w:rsidR="009D7C47" w:rsidRPr="00E31856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9D7C47" w:rsidRPr="00E31856" w:rsidTr="003774C4">
              <w:tc>
                <w:tcPr>
                  <w:tcW w:w="2993" w:type="dxa"/>
                  <w:vAlign w:val="center"/>
                </w:tcPr>
                <w:p w:rsidR="009D7C47" w:rsidRPr="00E31856" w:rsidRDefault="006E494A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Operacijski okvir monetarne politike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Eurosistema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2</w:t>
                  </w:r>
                </w:p>
              </w:tc>
              <w:tc>
                <w:tcPr>
                  <w:tcW w:w="709" w:type="dxa"/>
                  <w:vAlign w:val="center"/>
                </w:tcPr>
                <w:p w:rsidR="009D7C47" w:rsidRPr="00E31856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9D7C47" w:rsidRPr="00E31856" w:rsidRDefault="006E494A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Analiza likvidnosti monetarnog sustava EU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– bilance monetarnih i financijskih institucija</w:t>
                  </w:r>
                </w:p>
              </w:tc>
              <w:tc>
                <w:tcPr>
                  <w:tcW w:w="709" w:type="dxa"/>
                  <w:vAlign w:val="center"/>
                </w:tcPr>
                <w:p w:rsidR="009D7C47" w:rsidRPr="00E31856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9D7C47" w:rsidRPr="00E31856" w:rsidTr="003774C4">
              <w:tc>
                <w:tcPr>
                  <w:tcW w:w="2993" w:type="dxa"/>
                  <w:vAlign w:val="center"/>
                </w:tcPr>
                <w:p w:rsidR="009D7C47" w:rsidRPr="00E31856" w:rsidRDefault="006E494A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Financijska tržišta i monetarna politika u EU</w:t>
                  </w:r>
                </w:p>
              </w:tc>
              <w:tc>
                <w:tcPr>
                  <w:tcW w:w="709" w:type="dxa"/>
                  <w:vAlign w:val="center"/>
                </w:tcPr>
                <w:p w:rsidR="009D7C47" w:rsidRPr="00E31856" w:rsidRDefault="00465828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9D7C47" w:rsidRPr="00E31856" w:rsidRDefault="006E494A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Analiza financijske integracije u Europi po segmentima</w:t>
                  </w:r>
                </w:p>
              </w:tc>
              <w:tc>
                <w:tcPr>
                  <w:tcW w:w="709" w:type="dxa"/>
                  <w:vAlign w:val="center"/>
                </w:tcPr>
                <w:p w:rsidR="009D7C47" w:rsidRPr="00E31856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6E494A" w:rsidRPr="00E31856" w:rsidTr="003774C4">
              <w:tc>
                <w:tcPr>
                  <w:tcW w:w="2993" w:type="dxa"/>
                  <w:vAlign w:val="center"/>
                </w:tcPr>
                <w:p w:rsidR="006E494A" w:rsidRPr="00E31856" w:rsidRDefault="00BA3DCE" w:rsidP="00BA3DCE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Modelski pristup suodnosu monetarne i fiskalne politike</w:t>
                  </w:r>
                  <w:r w:rsidR="00F06D57">
                    <w:rPr>
                      <w:rFonts w:ascii="Arial" w:hAnsi="Arial" w:cs="Arial"/>
                      <w:sz w:val="18"/>
                      <w:szCs w:val="18"/>
                    </w:rPr>
                    <w:t xml:space="preserve"> u EMU</w:t>
                  </w:r>
                </w:p>
              </w:tc>
              <w:tc>
                <w:tcPr>
                  <w:tcW w:w="709" w:type="dxa"/>
                  <w:vAlign w:val="center"/>
                </w:tcPr>
                <w:p w:rsidR="006E494A" w:rsidRPr="00E31856" w:rsidRDefault="006E494A" w:rsidP="004A7B9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6E494A" w:rsidRPr="00E31856" w:rsidRDefault="00F06D57" w:rsidP="00F06D57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Usklađivanje fiskalne i monetarne politike (studija slučaja), monetarna i fiskalna unija</w:t>
                  </w:r>
                </w:p>
              </w:tc>
              <w:tc>
                <w:tcPr>
                  <w:tcW w:w="709" w:type="dxa"/>
                  <w:vAlign w:val="center"/>
                </w:tcPr>
                <w:p w:rsidR="006E494A" w:rsidRPr="00E31856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6E494A" w:rsidRPr="00E31856" w:rsidTr="003774C4">
              <w:tc>
                <w:tcPr>
                  <w:tcW w:w="2993" w:type="dxa"/>
                  <w:vAlign w:val="center"/>
                </w:tcPr>
                <w:p w:rsidR="006E494A" w:rsidRPr="00E31856" w:rsidRDefault="00F06D57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B</w:t>
                  </w: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ankovna unija</w:t>
                  </w:r>
                </w:p>
              </w:tc>
              <w:tc>
                <w:tcPr>
                  <w:tcW w:w="709" w:type="dxa"/>
                  <w:vAlign w:val="center"/>
                </w:tcPr>
                <w:p w:rsidR="006E494A" w:rsidRPr="00E31856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6E494A" w:rsidRPr="00E31856" w:rsidRDefault="00F06D57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Reforma regulacije bankovnog sustava u EU</w:t>
                  </w:r>
                </w:p>
              </w:tc>
              <w:tc>
                <w:tcPr>
                  <w:tcW w:w="709" w:type="dxa"/>
                  <w:vAlign w:val="center"/>
                </w:tcPr>
                <w:p w:rsidR="006E494A" w:rsidRPr="00E31856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6E494A" w:rsidRPr="00E31856" w:rsidTr="003774C4">
              <w:tc>
                <w:tcPr>
                  <w:tcW w:w="2993" w:type="dxa"/>
                  <w:vAlign w:val="center"/>
                </w:tcPr>
                <w:p w:rsidR="006E494A" w:rsidRPr="00D3254F" w:rsidRDefault="00F06D57" w:rsidP="003774C4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D3254F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Euro kao rezervna svjetska valuta</w:t>
                  </w:r>
                </w:p>
              </w:tc>
              <w:tc>
                <w:tcPr>
                  <w:tcW w:w="709" w:type="dxa"/>
                  <w:vAlign w:val="center"/>
                </w:tcPr>
                <w:p w:rsidR="006E494A" w:rsidRPr="00D3254F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D3254F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6E494A" w:rsidRPr="00D3254F" w:rsidRDefault="00F06D57" w:rsidP="003774C4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D3254F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Analiza determinanti eura kao rezervne svjetske valute (studija slučaja)</w:t>
                  </w:r>
                </w:p>
              </w:tc>
              <w:tc>
                <w:tcPr>
                  <w:tcW w:w="709" w:type="dxa"/>
                  <w:vAlign w:val="center"/>
                </w:tcPr>
                <w:p w:rsidR="006E494A" w:rsidRPr="00D3254F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D3254F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2</w:t>
                  </w:r>
                </w:p>
              </w:tc>
            </w:tr>
            <w:tr w:rsidR="006E494A" w:rsidRPr="00E31856" w:rsidTr="003774C4">
              <w:tc>
                <w:tcPr>
                  <w:tcW w:w="2993" w:type="dxa"/>
                  <w:vAlign w:val="center"/>
                </w:tcPr>
                <w:p w:rsidR="006E494A" w:rsidRPr="00E31856" w:rsidRDefault="00F06D57" w:rsidP="00F06D57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Proces pristupanja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Eurozoni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– modelski pristup</w:t>
                  </w:r>
                </w:p>
              </w:tc>
              <w:tc>
                <w:tcPr>
                  <w:tcW w:w="709" w:type="dxa"/>
                  <w:vAlign w:val="center"/>
                </w:tcPr>
                <w:p w:rsidR="006E494A" w:rsidRPr="00E31856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6E494A" w:rsidRPr="00E31856" w:rsidRDefault="00F06D57" w:rsidP="00F06D57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Analiza nominalnih kriterija konvergencije, odnos nominalnih </w:t>
                  </w: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i realn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ih kriterija</w:t>
                  </w:r>
                </w:p>
              </w:tc>
              <w:tc>
                <w:tcPr>
                  <w:tcW w:w="709" w:type="dxa"/>
                  <w:vAlign w:val="center"/>
                </w:tcPr>
                <w:p w:rsidR="006E494A" w:rsidRPr="00E31856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6E494A" w:rsidRPr="00E31856" w:rsidTr="003774C4">
              <w:tc>
                <w:tcPr>
                  <w:tcW w:w="2993" w:type="dxa"/>
                  <w:vAlign w:val="center"/>
                </w:tcPr>
                <w:p w:rsidR="006E494A" w:rsidRPr="00D3254F" w:rsidRDefault="00465828" w:rsidP="003774C4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D3254F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Tečajna politika monetarne unije</w:t>
                  </w:r>
                </w:p>
              </w:tc>
              <w:tc>
                <w:tcPr>
                  <w:tcW w:w="709" w:type="dxa"/>
                  <w:vAlign w:val="center"/>
                </w:tcPr>
                <w:p w:rsidR="006E494A" w:rsidRPr="00D3254F" w:rsidRDefault="0096604F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6E494A" w:rsidRPr="00D3254F" w:rsidRDefault="00465828" w:rsidP="003774C4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D3254F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Tečajna politika prije ulaska u </w:t>
                  </w:r>
                  <w:proofErr w:type="spellStart"/>
                  <w:r w:rsidRPr="00D3254F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Eurozonu</w:t>
                  </w:r>
                  <w:proofErr w:type="spellEnd"/>
                  <w:r w:rsidRPr="00D3254F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 i u </w:t>
                  </w:r>
                  <w:proofErr w:type="spellStart"/>
                  <w:r w:rsidRPr="00D3254F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Eurozoni</w:t>
                  </w:r>
                  <w:proofErr w:type="spellEnd"/>
                </w:p>
              </w:tc>
              <w:tc>
                <w:tcPr>
                  <w:tcW w:w="709" w:type="dxa"/>
                  <w:vAlign w:val="center"/>
                </w:tcPr>
                <w:p w:rsidR="006E494A" w:rsidRPr="00D3254F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D3254F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2</w:t>
                  </w:r>
                </w:p>
              </w:tc>
            </w:tr>
            <w:tr w:rsidR="00465828" w:rsidRPr="00E31856" w:rsidTr="003774C4">
              <w:tc>
                <w:tcPr>
                  <w:tcW w:w="2993" w:type="dxa"/>
                  <w:vAlign w:val="center"/>
                </w:tcPr>
                <w:p w:rsidR="00465828" w:rsidRPr="00D3254F" w:rsidRDefault="00465828" w:rsidP="004A7B9F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proofErr w:type="spellStart"/>
                  <w:r w:rsidRPr="00D3254F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Antikrizni</w:t>
                  </w:r>
                  <w:proofErr w:type="spellEnd"/>
                  <w:r w:rsidRPr="00D3254F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 management u modelu monetarne unije</w:t>
                  </w:r>
                </w:p>
              </w:tc>
              <w:tc>
                <w:tcPr>
                  <w:tcW w:w="709" w:type="dxa"/>
                  <w:vAlign w:val="center"/>
                </w:tcPr>
                <w:p w:rsidR="00465828" w:rsidRPr="00D3254F" w:rsidRDefault="00465828" w:rsidP="004A7B9F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D3254F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465828" w:rsidRPr="00D3254F" w:rsidRDefault="00465828" w:rsidP="0096604F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D3254F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Analiza instrumenata (studija slučaja)</w:t>
                  </w:r>
                </w:p>
              </w:tc>
              <w:tc>
                <w:tcPr>
                  <w:tcW w:w="709" w:type="dxa"/>
                  <w:vAlign w:val="center"/>
                </w:tcPr>
                <w:p w:rsidR="00465828" w:rsidRPr="00D3254F" w:rsidRDefault="00465828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D3254F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2</w:t>
                  </w:r>
                </w:p>
              </w:tc>
            </w:tr>
            <w:tr w:rsidR="00465828" w:rsidRPr="00E31856" w:rsidTr="003774C4">
              <w:tc>
                <w:tcPr>
                  <w:tcW w:w="2993" w:type="dxa"/>
                  <w:vAlign w:val="center"/>
                </w:tcPr>
                <w:p w:rsidR="00465828" w:rsidRPr="00E31856" w:rsidRDefault="00465828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  <w:vAlign w:val="center"/>
                </w:tcPr>
                <w:p w:rsidR="00465828" w:rsidRPr="00E31856" w:rsidRDefault="00465828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465828" w:rsidRPr="00E31856" w:rsidRDefault="00465828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  <w:vAlign w:val="center"/>
                </w:tcPr>
                <w:p w:rsidR="00465828" w:rsidRPr="00E31856" w:rsidRDefault="00465828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</w:tbl>
          <w:p w:rsidR="009D7C47" w:rsidRPr="00E31856" w:rsidRDefault="009D7C47" w:rsidP="003774C4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7C47" w:rsidRPr="00E31856" w:rsidTr="003774C4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:rsidR="009D7C47" w:rsidRPr="00E31856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9D7C47" w:rsidRPr="00E31856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:rsidR="009D7C47" w:rsidRPr="00E31856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9D7C47" w:rsidRPr="00E31856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9D7C47" w:rsidRPr="00E31856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E31856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E31856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 samostalni  zadaci  </w:t>
            </w:r>
          </w:p>
          <w:p w:rsidR="009D7C47" w:rsidRPr="00E31856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9D7C47" w:rsidRPr="00E31856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9D7C47" w:rsidRPr="00E31856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9D7C47" w:rsidRPr="00E31856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D2CE4"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D2CE4" w:rsidRPr="00E31856">
              <w:rPr>
                <w:rFonts w:ascii="Arial" w:hAnsi="Arial" w:cs="Arial"/>
                <w:sz w:val="20"/>
                <w:szCs w:val="20"/>
              </w:rPr>
            </w:r>
            <w:r w:rsidR="007D2CE4"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="007D2CE4"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3185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E3185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31856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9D7C47" w:rsidRPr="00E31856" w:rsidTr="003774C4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9D7C47" w:rsidRPr="00E31856" w:rsidTr="003774C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E31856" w:rsidRDefault="0057630D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630D">
              <w:rPr>
                <w:rFonts w:ascii="Arial" w:hAnsi="Arial" w:cs="Arial"/>
                <w:sz w:val="20"/>
                <w:szCs w:val="20"/>
              </w:rPr>
              <w:t xml:space="preserve">Da bi ostvario pravo na potpis redovni student mora pohađati 70% ukupne nastave. </w:t>
            </w:r>
            <w:r w:rsidRPr="0057630D">
              <w:rPr>
                <w:rFonts w:ascii="Arial" w:hAnsi="Arial" w:cs="Arial"/>
                <w:color w:val="FF0000"/>
                <w:sz w:val="20"/>
                <w:szCs w:val="20"/>
              </w:rPr>
              <w:t>Uz prisustvovanje, aktivno sudjelovanje u nastavi pretpostavlja i sudjelovanje u studijama slučajeva i interaktivnim raspravama.</w:t>
            </w:r>
          </w:p>
        </w:tc>
      </w:tr>
      <w:tr w:rsidR="009D7C47" w:rsidRPr="00E31856" w:rsidTr="003774C4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E31856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E31856" w:rsidRDefault="007D2CE4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D7C4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E31856" w:rsidRDefault="007D2CE4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D7C4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E31856" w:rsidRDefault="007D2CE4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D7C4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3254F" w:rsidRPr="00E31856" w:rsidTr="003774C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3254F" w:rsidRPr="00E31856" w:rsidRDefault="00D3254F" w:rsidP="009D7C4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3254F" w:rsidRPr="00E31856" w:rsidRDefault="00D3254F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3254F" w:rsidRPr="00E31856" w:rsidRDefault="007D2CE4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3254F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3254F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3254F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3254F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3254F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3254F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3254F" w:rsidRPr="00E31856" w:rsidRDefault="00D3254F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3254F" w:rsidRPr="00E31856" w:rsidRDefault="007D2CE4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3254F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3254F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3254F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3254F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3254F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3254F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D3254F" w:rsidRPr="003C439B" w:rsidRDefault="00D3254F" w:rsidP="004A7B9F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3C439B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Samostalni zadaci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254F" w:rsidRPr="003C439B" w:rsidRDefault="00D3254F" w:rsidP="004A7B9F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3C439B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0,5</w:t>
            </w:r>
          </w:p>
        </w:tc>
      </w:tr>
      <w:tr w:rsidR="009D7C47" w:rsidRPr="00E31856" w:rsidTr="003774C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9D7C4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D7C47" w:rsidRPr="00E31856" w:rsidRDefault="007D2CE4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D7C4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D7C47" w:rsidRPr="00E31856" w:rsidRDefault="00D3254F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9D7C47" w:rsidRPr="00E31856" w:rsidRDefault="007D2CE4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D7C4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9D7C47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E31856" w:rsidRDefault="007D2CE4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D7C4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D7C47" w:rsidRPr="00E31856" w:rsidTr="003774C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9D7C4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D7C47" w:rsidRPr="00E31856" w:rsidRDefault="007D2CE4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E31856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b/>
                <w:sz w:val="20"/>
                <w:szCs w:val="20"/>
              </w:rPr>
            </w:r>
            <w:r w:rsidRPr="00E31856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D7C47" w:rsidRPr="00E3185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9D7C47" w:rsidRPr="00E31856" w:rsidRDefault="007D2CE4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D7C47" w:rsidRPr="00E3185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E31856" w:rsidRDefault="007D2CE4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D7C47" w:rsidRPr="00E31856" w:rsidTr="003774C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9D7C4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E31856" w:rsidRDefault="007D2CE4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E31856" w:rsidRDefault="007D2CE4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D7C47" w:rsidRPr="00E3185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7C47" w:rsidRPr="00E31856" w:rsidRDefault="007D2CE4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D7C47" w:rsidRPr="00E31856" w:rsidTr="003774C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D7C47" w:rsidRPr="00E31856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Provjera znanja putem dvaju kolokvija tijekom semestra odnosno putem pismenog ispita.</w:t>
            </w:r>
          </w:p>
          <w:p w:rsidR="009D7C47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* Polaganje kolokvija zamjenjuje završni ispit.</w:t>
            </w:r>
          </w:p>
          <w:p w:rsidR="00D3254F" w:rsidRDefault="00D3254F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C4D32">
              <w:rPr>
                <w:rFonts w:ascii="Arial" w:hAnsi="Arial" w:cs="Arial"/>
                <w:color w:val="FF0000"/>
                <w:sz w:val="20"/>
                <w:szCs w:val="20"/>
              </w:rPr>
              <w:t>** Na pojedinim vježbama studenti rješavaju studije slučaja vezane uz predavanja, prema gore navedenom rasporedu.</w:t>
            </w:r>
          </w:p>
          <w:p w:rsidR="0057630D" w:rsidRPr="0057630D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7630D">
              <w:rPr>
                <w:rFonts w:ascii="Arial" w:hAnsi="Arial" w:cs="Arial"/>
                <w:color w:val="FF0000"/>
                <w:sz w:val="20"/>
                <w:szCs w:val="20"/>
              </w:rPr>
              <w:t>Provjera znanja putem dvaju kolokvija tijekom semestra odnosno putem pismenog ispita. Kolokviji nose 60% od ukupne ocjene, seminarski radovi 30%, dok studije slučaja nose 10% od ukupne ocjene.</w:t>
            </w:r>
          </w:p>
          <w:p w:rsidR="0057630D" w:rsidRPr="0057630D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57630D" w:rsidRPr="0057630D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7630D">
              <w:rPr>
                <w:rFonts w:ascii="Arial" w:hAnsi="Arial" w:cs="Arial"/>
                <w:color w:val="FF0000"/>
                <w:sz w:val="20"/>
                <w:szCs w:val="20"/>
              </w:rPr>
              <w:t xml:space="preserve">Bodovni pragovi i odgovarajuće ocjene </w:t>
            </w:r>
            <w:r w:rsidR="005D605C">
              <w:rPr>
                <w:rFonts w:ascii="Arial" w:hAnsi="Arial" w:cs="Arial"/>
                <w:color w:val="FF0000"/>
                <w:sz w:val="20"/>
                <w:szCs w:val="20"/>
              </w:rPr>
              <w:t>kolegija</w:t>
            </w:r>
            <w:r w:rsidRPr="0057630D">
              <w:rPr>
                <w:rFonts w:ascii="Arial" w:hAnsi="Arial" w:cs="Arial"/>
                <w:color w:val="FF0000"/>
                <w:sz w:val="20"/>
                <w:szCs w:val="20"/>
              </w:rPr>
              <w:t>:</w:t>
            </w:r>
          </w:p>
          <w:p w:rsidR="0057630D" w:rsidRPr="0057630D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7630D">
              <w:rPr>
                <w:rFonts w:ascii="Arial" w:hAnsi="Arial" w:cs="Arial"/>
                <w:color w:val="FF0000"/>
                <w:sz w:val="20"/>
                <w:szCs w:val="20"/>
              </w:rPr>
              <w:t>0-50      nedovoljan (1)</w:t>
            </w:r>
          </w:p>
          <w:p w:rsidR="0057630D" w:rsidRPr="0057630D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7630D">
              <w:rPr>
                <w:rFonts w:ascii="Arial" w:hAnsi="Arial" w:cs="Arial"/>
                <w:color w:val="FF0000"/>
                <w:sz w:val="20"/>
                <w:szCs w:val="20"/>
              </w:rPr>
              <w:t>51-65    dovoljan (2)</w:t>
            </w:r>
          </w:p>
          <w:p w:rsidR="0057630D" w:rsidRPr="0057630D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7630D">
              <w:rPr>
                <w:rFonts w:ascii="Arial" w:hAnsi="Arial" w:cs="Arial"/>
                <w:color w:val="FF0000"/>
                <w:sz w:val="20"/>
                <w:szCs w:val="20"/>
              </w:rPr>
              <w:t>66-75    dobar (3)</w:t>
            </w:r>
          </w:p>
          <w:p w:rsidR="0057630D" w:rsidRPr="0057630D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7630D">
              <w:rPr>
                <w:rFonts w:ascii="Arial" w:hAnsi="Arial" w:cs="Arial"/>
                <w:color w:val="FF0000"/>
                <w:sz w:val="20"/>
                <w:szCs w:val="20"/>
              </w:rPr>
              <w:t>76-85    vrlo dobar (4)</w:t>
            </w:r>
          </w:p>
          <w:p w:rsidR="0057630D" w:rsidRPr="0057630D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7630D">
              <w:rPr>
                <w:rFonts w:ascii="Arial" w:hAnsi="Arial" w:cs="Arial"/>
                <w:color w:val="FF0000"/>
                <w:sz w:val="20"/>
                <w:szCs w:val="20"/>
              </w:rPr>
              <w:t>86-100  izvrstan (5)</w:t>
            </w:r>
          </w:p>
          <w:p w:rsidR="0057630D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11137F" w:rsidRPr="0011137F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1137F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>Ispit se smatra položenim ako je student:</w:t>
            </w:r>
          </w:p>
          <w:p w:rsidR="0011137F" w:rsidRPr="0011137F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1137F">
              <w:rPr>
                <w:rFonts w:ascii="Arial" w:hAnsi="Arial" w:cs="Arial"/>
                <w:color w:val="FF0000"/>
                <w:sz w:val="20"/>
                <w:szCs w:val="20"/>
              </w:rPr>
              <w:t>- u prosjeku ostvario prolaznu ocjenu iz pisanih provjera znanja (minimalno 50% iz oba kolokvija ili iz pisanog završnog ispita),</w:t>
            </w:r>
          </w:p>
          <w:p w:rsidR="0011137F" w:rsidRPr="0011137F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1137F">
              <w:rPr>
                <w:rFonts w:ascii="Arial" w:hAnsi="Arial" w:cs="Arial"/>
                <w:color w:val="FF0000"/>
                <w:sz w:val="20"/>
                <w:szCs w:val="20"/>
              </w:rPr>
              <w:t>- uspješno napisao i prezentirao seminarski rad,</w:t>
            </w:r>
          </w:p>
          <w:p w:rsidR="0011137F" w:rsidRPr="0011137F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1137F">
              <w:rPr>
                <w:rFonts w:ascii="Arial" w:hAnsi="Arial" w:cs="Arial"/>
                <w:color w:val="FF0000"/>
                <w:sz w:val="20"/>
                <w:szCs w:val="20"/>
              </w:rPr>
              <w:t>- aktivno sudjelovao u studijama slučaja.</w:t>
            </w:r>
          </w:p>
          <w:p w:rsidR="0011137F" w:rsidRPr="0011137F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11137F" w:rsidRPr="0011137F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1137F">
              <w:rPr>
                <w:rFonts w:ascii="Arial" w:hAnsi="Arial" w:cs="Arial"/>
                <w:color w:val="FF0000"/>
                <w:sz w:val="20"/>
                <w:szCs w:val="20"/>
              </w:rPr>
              <w:t>Konačna ocjena se formira kao zbroj:</w:t>
            </w:r>
          </w:p>
          <w:p w:rsidR="0011137F" w:rsidRPr="0011137F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1137F">
              <w:rPr>
                <w:rFonts w:ascii="Arial" w:hAnsi="Arial" w:cs="Arial"/>
                <w:color w:val="FF0000"/>
                <w:sz w:val="20"/>
                <w:szCs w:val="20"/>
              </w:rPr>
              <w:t>1) ukupno ostvarenih bodova na pisanim provjerama znanja umnožene s ponderom od 0.6,</w:t>
            </w:r>
          </w:p>
          <w:p w:rsidR="0011137F" w:rsidRPr="0011137F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1137F">
              <w:rPr>
                <w:rFonts w:ascii="Arial" w:hAnsi="Arial" w:cs="Arial"/>
                <w:color w:val="FF0000"/>
                <w:sz w:val="20"/>
                <w:szCs w:val="20"/>
              </w:rPr>
              <w:t>2) ocjene ostvarene seminarskim radom umnožene s ponderom od 0.3  te</w:t>
            </w:r>
          </w:p>
          <w:p w:rsidR="0011137F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1137F">
              <w:rPr>
                <w:rFonts w:ascii="Arial" w:hAnsi="Arial" w:cs="Arial"/>
                <w:color w:val="FF0000"/>
                <w:sz w:val="20"/>
                <w:szCs w:val="20"/>
              </w:rPr>
              <w:t>3) ukupno ostvarenih bodova iz studija slučaja umnoženih s ponderom 0.1.</w:t>
            </w:r>
          </w:p>
          <w:p w:rsidR="0011137F" w:rsidRDefault="0011137F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57630D" w:rsidRPr="00E31856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7630D">
              <w:rPr>
                <w:rFonts w:ascii="Arial" w:hAnsi="Arial" w:cs="Arial"/>
                <w:sz w:val="20"/>
                <w:szCs w:val="20"/>
              </w:rPr>
              <w:t>Ukoliko student ne zadovolji na pisanim provjerama dužan je polagati završni ispit. Završni ispit može biti organiziran na pisani i/ili usmeni način.</w:t>
            </w:r>
          </w:p>
        </w:tc>
      </w:tr>
      <w:tr w:rsidR="009D7C47" w:rsidRPr="00E31856" w:rsidTr="003774C4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57630D" w:rsidRPr="00E31856" w:rsidTr="003774C4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630D" w:rsidRPr="00E31856" w:rsidRDefault="0057630D" w:rsidP="009D7C4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7630D" w:rsidRPr="00BF1008" w:rsidRDefault="0057630D" w:rsidP="00BA49FA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381AC2">
              <w:rPr>
                <w:rFonts w:ascii="Arial" w:hAnsi="Arial" w:cs="Arial"/>
                <w:noProof/>
                <w:color w:val="FF0000"/>
                <w:sz w:val="18"/>
                <w:szCs w:val="18"/>
              </w:rPr>
              <w:t>Autorizirana predavanja i nastavni materijali na Moodle stranicama kolegija (skripta i power point)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7630D" w:rsidRPr="00316710" w:rsidRDefault="0057630D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16710"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</w:p>
          <w:p w:rsidR="0057630D" w:rsidRPr="00316710" w:rsidRDefault="0057630D" w:rsidP="00BA49F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7630D" w:rsidRPr="00316710" w:rsidRDefault="0057630D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316710"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  <w:proofErr w:type="spellEnd"/>
          </w:p>
        </w:tc>
      </w:tr>
      <w:tr w:rsidR="009D7C47" w:rsidRPr="00E31856" w:rsidTr="003774C4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9D7C4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D7C47" w:rsidRPr="00E31856" w:rsidRDefault="009D7C47" w:rsidP="003774C4">
            <w:pPr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D7C47" w:rsidRPr="00E31856" w:rsidRDefault="009D7C4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D7C47" w:rsidRPr="00E31856" w:rsidRDefault="009D7C4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7C47" w:rsidRPr="00E31856" w:rsidTr="003774C4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9D7C4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D7C47" w:rsidRPr="00E31856" w:rsidRDefault="007D2CE4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D7C47" w:rsidRPr="00E31856" w:rsidRDefault="007D2CE4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D7C47" w:rsidRPr="00E31856" w:rsidRDefault="007D2CE4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D7C47" w:rsidRPr="00E31856" w:rsidTr="003774C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9D7C47" w:rsidRPr="00E31856" w:rsidRDefault="009D7C4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7630D" w:rsidRPr="0057630D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color w:val="FF0000"/>
                <w:sz w:val="20"/>
                <w:szCs w:val="20"/>
              </w:rPr>
            </w:pPr>
            <w:r w:rsidRPr="0057630D">
              <w:rPr>
                <w:rFonts w:ascii="Arial" w:hAnsi="Arial" w:cs="Arial"/>
                <w:i/>
                <w:noProof/>
                <w:color w:val="FF0000"/>
                <w:sz w:val="20"/>
                <w:szCs w:val="20"/>
              </w:rPr>
              <w:t>Udžbenici i knjige:</w:t>
            </w:r>
          </w:p>
          <w:p w:rsidR="0057630D" w:rsidRPr="0057630D" w:rsidRDefault="0057630D" w:rsidP="005763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57630D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>De Grauwe, P.: Economics of Monetary Union, Oxford University Press, 2007.</w:t>
            </w:r>
          </w:p>
          <w:p w:rsidR="0057630D" w:rsidRDefault="0057630D" w:rsidP="0057630D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</w:pPr>
          </w:p>
          <w:p w:rsidR="0057630D" w:rsidRPr="007F27FF" w:rsidRDefault="0057630D" w:rsidP="0057630D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  <w:t>Č</w:t>
            </w:r>
            <w:r w:rsidRPr="007F27FF"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  <w:t xml:space="preserve">lanci: </w:t>
            </w:r>
          </w:p>
          <w:p w:rsidR="0057630D" w:rsidRPr="007F27FF" w:rsidRDefault="0057630D" w:rsidP="0057630D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</w:p>
          <w:p w:rsidR="0057630D" w:rsidRDefault="0057630D" w:rsidP="0057630D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Visković, J.: </w:t>
            </w:r>
            <w:proofErr w:type="spellStart"/>
            <w:r w:rsidRPr="0057630D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>The</w:t>
            </w:r>
            <w:proofErr w:type="spellEnd"/>
            <w:r w:rsidRPr="0057630D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 xml:space="preserve"> Optimum </w:t>
            </w:r>
            <w:proofErr w:type="spellStart"/>
            <w:r w:rsidRPr="0057630D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>Currency</w:t>
            </w:r>
            <w:proofErr w:type="spellEnd"/>
            <w:r w:rsidRPr="0057630D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630D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>Area</w:t>
            </w:r>
            <w:proofErr w:type="spellEnd"/>
            <w:r w:rsidRPr="0057630D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630D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>and</w:t>
            </w:r>
            <w:proofErr w:type="spellEnd"/>
            <w:r w:rsidRPr="0057630D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630D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>the</w:t>
            </w:r>
            <w:proofErr w:type="spellEnd"/>
            <w:r w:rsidRPr="0057630D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630D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>Credibility</w:t>
            </w:r>
            <w:proofErr w:type="spellEnd"/>
            <w:r w:rsidRPr="0057630D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630D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>of</w:t>
            </w:r>
            <w:proofErr w:type="spellEnd"/>
            <w:r w:rsidRPr="0057630D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630D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>Maastricht</w:t>
            </w:r>
            <w:proofErr w:type="spellEnd"/>
            <w:r w:rsidRPr="0057630D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630D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>Criteria</w:t>
            </w:r>
            <w:proofErr w:type="spellEnd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Proceedings</w:t>
            </w:r>
            <w:proofErr w:type="spellEnd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of</w:t>
            </w:r>
            <w:proofErr w:type="spellEnd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the</w:t>
            </w:r>
            <w:proofErr w:type="spellEnd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6th </w:t>
            </w:r>
            <w:proofErr w:type="spellStart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International</w:t>
            </w:r>
            <w:proofErr w:type="spellEnd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Conference</w:t>
            </w:r>
            <w:proofErr w:type="spellEnd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of</w:t>
            </w:r>
            <w:proofErr w:type="spellEnd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the</w:t>
            </w:r>
            <w:proofErr w:type="spellEnd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School</w:t>
            </w:r>
            <w:proofErr w:type="spellEnd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of</w:t>
            </w:r>
            <w:proofErr w:type="spellEnd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Economics</w:t>
            </w:r>
            <w:proofErr w:type="spellEnd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and</w:t>
            </w:r>
            <w:proofErr w:type="spellEnd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Business</w:t>
            </w:r>
            <w:proofErr w:type="spellEnd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Sarajevo 2012 “</w:t>
            </w:r>
            <w:proofErr w:type="spellStart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Beyond</w:t>
            </w:r>
            <w:proofErr w:type="spellEnd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the</w:t>
            </w:r>
            <w:proofErr w:type="spellEnd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Economics</w:t>
            </w:r>
            <w:proofErr w:type="spellEnd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Crisis</w:t>
            </w:r>
            <w:proofErr w:type="spellEnd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Lessons</w:t>
            </w:r>
            <w:proofErr w:type="spellEnd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Learned</w:t>
            </w:r>
            <w:proofErr w:type="spellEnd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and</w:t>
            </w:r>
            <w:proofErr w:type="spellEnd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630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Chal</w:t>
            </w:r>
            <w:r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lenges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Ahead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“</w:t>
            </w:r>
          </w:p>
          <w:p w:rsidR="0057630D" w:rsidRPr="007F27FF" w:rsidRDefault="0057630D" w:rsidP="0057630D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</w:p>
          <w:p w:rsidR="0057630D" w:rsidRDefault="0057630D" w:rsidP="0057630D">
            <w:pPr>
              <w:tabs>
                <w:tab w:val="left" w:pos="2820"/>
              </w:tabs>
              <w:spacing w:after="0"/>
              <w:rPr>
                <w:rStyle w:val="binding"/>
                <w:rFonts w:ascii="Arial" w:hAnsi="Arial" w:cs="Arial"/>
                <w:sz w:val="20"/>
                <w:szCs w:val="20"/>
              </w:rPr>
            </w:pPr>
            <w:r w:rsidRPr="007F27FF">
              <w:rPr>
                <w:rFonts w:ascii="Arial" w:hAnsi="Arial" w:cs="Arial"/>
                <w:i/>
                <w:color w:val="FF0000"/>
                <w:sz w:val="20"/>
                <w:szCs w:val="20"/>
              </w:rPr>
              <w:t>Ostali izvori:</w:t>
            </w:r>
          </w:p>
          <w:p w:rsidR="0057630D" w:rsidRPr="0057630D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57630D">
              <w:rPr>
                <w:rStyle w:val="binding"/>
                <w:rFonts w:ascii="Arial" w:hAnsi="Arial" w:cs="Arial"/>
                <w:sz w:val="20"/>
                <w:szCs w:val="20"/>
              </w:rPr>
              <w:t xml:space="preserve">ECB: </w:t>
            </w:r>
            <w:proofErr w:type="spellStart"/>
            <w:r w:rsidRPr="0057630D">
              <w:rPr>
                <w:rStyle w:val="binding"/>
                <w:rFonts w:ascii="Arial" w:hAnsi="Arial" w:cs="Arial"/>
                <w:sz w:val="20"/>
                <w:szCs w:val="20"/>
              </w:rPr>
              <w:t>Monetary</w:t>
            </w:r>
            <w:proofErr w:type="spellEnd"/>
            <w:r w:rsidRPr="0057630D">
              <w:rPr>
                <w:rStyle w:val="binding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630D">
              <w:rPr>
                <w:rStyle w:val="binding"/>
                <w:rFonts w:ascii="Arial" w:hAnsi="Arial" w:cs="Arial"/>
                <w:sz w:val="20"/>
                <w:szCs w:val="20"/>
              </w:rPr>
              <w:t>policy</w:t>
            </w:r>
            <w:proofErr w:type="spellEnd"/>
            <w:r w:rsidRPr="0057630D">
              <w:rPr>
                <w:rStyle w:val="binding"/>
                <w:rFonts w:ascii="Arial" w:hAnsi="Arial" w:cs="Arial"/>
                <w:sz w:val="20"/>
                <w:szCs w:val="20"/>
              </w:rPr>
              <w:t>, godišnje publikacije</w:t>
            </w:r>
          </w:p>
          <w:p w:rsidR="0057630D" w:rsidRDefault="0057630D" w:rsidP="0057630D">
            <w:pPr>
              <w:spacing w:after="0" w:line="288" w:lineRule="auto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Eurostat</w:t>
            </w:r>
            <w:proofErr w:type="spellEnd"/>
            <w:r>
              <w:t xml:space="preserve"> (</w:t>
            </w:r>
            <w:hyperlink r:id="rId7" w:history="1">
              <w:r w:rsidRPr="00DE6382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http://ec.europa.eu/eurostat</w:t>
              </w:r>
            </w:hyperlink>
            <w: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)</w:t>
            </w:r>
          </w:p>
          <w:p w:rsidR="009D7C47" w:rsidRPr="00E31856" w:rsidRDefault="009D7C47" w:rsidP="0057630D">
            <w:pPr>
              <w:spacing w:after="0" w:line="288" w:lineRule="auto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9D7C47" w:rsidRPr="00E31856" w:rsidTr="003774C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D7C47" w:rsidRPr="00E31856" w:rsidRDefault="009D7C47" w:rsidP="009D7C47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9D7C47" w:rsidRPr="00E31856" w:rsidRDefault="009D7C47" w:rsidP="009D7C47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:rsidR="009D7C47" w:rsidRPr="00E31856" w:rsidRDefault="009D7C47" w:rsidP="009D7C47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9D7C47" w:rsidRPr="00E31856" w:rsidRDefault="009D7C47" w:rsidP="009D7C47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9D7C47" w:rsidRPr="00E31856" w:rsidRDefault="009D7C47" w:rsidP="009D7C47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9D7C47" w:rsidRPr="00E31856" w:rsidTr="003774C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D7C47" w:rsidRPr="00E31856" w:rsidRDefault="009D7C4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D7C47" w:rsidRPr="00E31856" w:rsidRDefault="007D2CE4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D2093" w:rsidRDefault="005D2093"/>
    <w:p w:rsidR="0096604F" w:rsidRDefault="0096604F" w:rsidP="0011137F"/>
    <w:sectPr w:rsidR="0096604F" w:rsidSect="005D20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98D" w:rsidRDefault="0032098D" w:rsidP="009D7C47">
      <w:pPr>
        <w:spacing w:after="0" w:line="240" w:lineRule="auto"/>
      </w:pPr>
      <w:r>
        <w:separator/>
      </w:r>
    </w:p>
  </w:endnote>
  <w:endnote w:type="continuationSeparator" w:id="0">
    <w:p w:rsidR="0032098D" w:rsidRDefault="0032098D" w:rsidP="009D7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98D" w:rsidRDefault="0032098D" w:rsidP="009D7C47">
      <w:pPr>
        <w:spacing w:after="0" w:line="240" w:lineRule="auto"/>
      </w:pPr>
      <w:r>
        <w:separator/>
      </w:r>
    </w:p>
  </w:footnote>
  <w:footnote w:type="continuationSeparator" w:id="0">
    <w:p w:rsidR="0032098D" w:rsidRDefault="0032098D" w:rsidP="009D7C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AD4B02"/>
    <w:multiLevelType w:val="hybridMultilevel"/>
    <w:tmpl w:val="C9AA29F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C1A4A51"/>
    <w:multiLevelType w:val="hybridMultilevel"/>
    <w:tmpl w:val="2D00AC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165789"/>
    <w:multiLevelType w:val="hybridMultilevel"/>
    <w:tmpl w:val="9FEC87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DD0893"/>
    <w:multiLevelType w:val="hybridMultilevel"/>
    <w:tmpl w:val="1C1A93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7C47"/>
    <w:rsid w:val="000612A5"/>
    <w:rsid w:val="00111168"/>
    <w:rsid w:val="0011137F"/>
    <w:rsid w:val="0011264C"/>
    <w:rsid w:val="001207F7"/>
    <w:rsid w:val="001A6D29"/>
    <w:rsid w:val="0032098D"/>
    <w:rsid w:val="003A761D"/>
    <w:rsid w:val="00465828"/>
    <w:rsid w:val="004F15F8"/>
    <w:rsid w:val="0057630D"/>
    <w:rsid w:val="005D2093"/>
    <w:rsid w:val="005D605C"/>
    <w:rsid w:val="006E05DA"/>
    <w:rsid w:val="006E494A"/>
    <w:rsid w:val="007D2CE4"/>
    <w:rsid w:val="008D5DD1"/>
    <w:rsid w:val="008E689C"/>
    <w:rsid w:val="0096604F"/>
    <w:rsid w:val="009766FB"/>
    <w:rsid w:val="009D7C47"/>
    <w:rsid w:val="00AC238A"/>
    <w:rsid w:val="00AC7DF3"/>
    <w:rsid w:val="00B20E20"/>
    <w:rsid w:val="00B45C94"/>
    <w:rsid w:val="00BA3DCE"/>
    <w:rsid w:val="00C81017"/>
    <w:rsid w:val="00D012F5"/>
    <w:rsid w:val="00D163E9"/>
    <w:rsid w:val="00D3254F"/>
    <w:rsid w:val="00DB4C60"/>
    <w:rsid w:val="00E8559E"/>
    <w:rsid w:val="00E948F5"/>
    <w:rsid w:val="00EF0CA1"/>
    <w:rsid w:val="00EF46EC"/>
    <w:rsid w:val="00F06D57"/>
    <w:rsid w:val="00FA2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C4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7C47"/>
    <w:pPr>
      <w:ind w:left="720"/>
      <w:contextualSpacing/>
    </w:pPr>
  </w:style>
  <w:style w:type="paragraph" w:customStyle="1" w:styleId="FieldText">
    <w:name w:val="Field Text"/>
    <w:basedOn w:val="Normal"/>
    <w:rsid w:val="009D7C47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9D7C47"/>
    <w:rPr>
      <w:rFonts w:cs="Times New Roman"/>
      <w:b/>
      <w:bCs/>
    </w:rPr>
  </w:style>
  <w:style w:type="character" w:styleId="Hyperlink">
    <w:name w:val="Hyperlink"/>
    <w:rsid w:val="009D7C47"/>
    <w:rPr>
      <w:color w:val="0000FF"/>
      <w:u w:val="single"/>
    </w:rPr>
  </w:style>
  <w:style w:type="character" w:customStyle="1" w:styleId="ptbrand">
    <w:name w:val="ptbrand"/>
    <w:rsid w:val="009D7C47"/>
  </w:style>
  <w:style w:type="character" w:customStyle="1" w:styleId="binding">
    <w:name w:val="binding"/>
    <w:rsid w:val="009D7C47"/>
  </w:style>
  <w:style w:type="paragraph" w:styleId="Header">
    <w:name w:val="header"/>
    <w:basedOn w:val="Normal"/>
    <w:link w:val="HeaderChar"/>
    <w:uiPriority w:val="99"/>
    <w:semiHidden/>
    <w:unhideWhenUsed/>
    <w:rsid w:val="009D7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D7C4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9D7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D7C47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rsid w:val="0096604F"/>
    <w:rPr>
      <w:rFonts w:cs="Times New Roman"/>
      <w:sz w:val="16"/>
      <w:szCs w:val="16"/>
    </w:rPr>
  </w:style>
  <w:style w:type="paragraph" w:customStyle="1" w:styleId="Default">
    <w:name w:val="Default"/>
    <w:rsid w:val="009660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C4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7C47"/>
    <w:pPr>
      <w:ind w:left="720"/>
      <w:contextualSpacing/>
    </w:pPr>
  </w:style>
  <w:style w:type="paragraph" w:customStyle="1" w:styleId="FieldText">
    <w:name w:val="Field Text"/>
    <w:basedOn w:val="Normal"/>
    <w:rsid w:val="009D7C47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9D7C47"/>
    <w:rPr>
      <w:rFonts w:cs="Times New Roman"/>
      <w:b/>
      <w:bCs/>
    </w:rPr>
  </w:style>
  <w:style w:type="character" w:styleId="Hyperlink">
    <w:name w:val="Hyperlink"/>
    <w:rsid w:val="009D7C47"/>
    <w:rPr>
      <w:color w:val="0000FF"/>
      <w:u w:val="single"/>
    </w:rPr>
  </w:style>
  <w:style w:type="character" w:customStyle="1" w:styleId="ptbrand">
    <w:name w:val="ptbrand"/>
    <w:rsid w:val="009D7C47"/>
  </w:style>
  <w:style w:type="character" w:customStyle="1" w:styleId="binding">
    <w:name w:val="binding"/>
    <w:rsid w:val="009D7C47"/>
  </w:style>
  <w:style w:type="paragraph" w:styleId="Header">
    <w:name w:val="header"/>
    <w:basedOn w:val="Normal"/>
    <w:link w:val="HeaderChar"/>
    <w:uiPriority w:val="99"/>
    <w:semiHidden/>
    <w:unhideWhenUsed/>
    <w:rsid w:val="009D7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D7C4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9D7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D7C47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rsid w:val="0096604F"/>
    <w:rPr>
      <w:rFonts w:cs="Times New Roman"/>
      <w:sz w:val="16"/>
      <w:szCs w:val="16"/>
    </w:rPr>
  </w:style>
  <w:style w:type="paragraph" w:customStyle="1" w:styleId="Default">
    <w:name w:val="Default"/>
    <w:rsid w:val="009660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c.europa.eu/eurostat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1051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5</cp:revision>
  <cp:lastPrinted>2017-07-06T14:24:00Z</cp:lastPrinted>
  <dcterms:created xsi:type="dcterms:W3CDTF">2018-06-07T08:18:00Z</dcterms:created>
  <dcterms:modified xsi:type="dcterms:W3CDTF">2018-06-07T09:51:00Z</dcterms:modified>
</cp:coreProperties>
</file>